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0D50" w:rsidRPr="00140371" w:rsidRDefault="007B0D50" w:rsidP="001C52D6">
      <w:pPr>
        <w:rPr>
          <w:rFonts w:ascii="新細明體" w:eastAsia="新細明體" w:hAnsi="新細明體"/>
        </w:rPr>
      </w:pPr>
      <w:r w:rsidRPr="00140371">
        <w:rPr>
          <w:rFonts w:ascii="新細明體" w:eastAsia="新細明體" w:hAnsi="新細明體" w:hint="eastAsia"/>
        </w:rPr>
        <w:t>緒論1</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研究動機與目的2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儘管現在為男女平權的世代，但對於一個家庭消費結構而言，女性扮演著消費的角色，她們並不僅止於個人需求的消費，亦包括家庭成員的需求。在家庭消的相關研究指出；家庭中婦女的消費行為時常代表著家庭的消費，如採購先生、小孩的衣物、家庭日常用品等，然而隨著現代女性教育水準提高、經濟獨立，加強了購物自主能力，尤其表現出高度的服裝興趣與消費頻率，是服裝採買及消費力強的一群。</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未婚女性的消費著重在個人欲望與需求上，如個人衣物、精美飾物、娛樂消費等，其消費著重於流行的趨勢，個人的喜好，經濟自主能力相較於婚後女性強，相對而言，婚後女性消費會考量到家庭經濟收支的問題。由此可看出家庭結構的改變影響著女性消費行為，婚後女性的消費行為受到家庭因素層面影響甚大，消費行為與習慣不僅以自身為主要考量。</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本研究以不同家庭生命週期觀點，來探討婚姻前後女性服飾消費行為的改變，並以利用消費地圖的概念以地圖的方式呈現出婚姻前後女性購買服飾地圖的轉變。研究的結果可提供服裝相關業者對於商品與市場區隔之參考點。</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研究問題2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根據研究動機及目的，本研究問題如下：是否因為不同家庭生命週期，在對於服裝消費行為有顯著差異？不同家庭生命週期以及婚前婚後居住地，對於服裝消費地圖的差異？</w:t>
      </w:r>
    </w:p>
    <w:p w:rsidR="007B0D50" w:rsidRDefault="007B0D50" w:rsidP="001C52D6">
      <w:pPr>
        <w:rPr>
          <w:rFonts w:ascii="新細明體" w:eastAsia="新細明體" w:hAnsi="新細明體"/>
        </w:rPr>
      </w:pPr>
      <w:r w:rsidRPr="00140371">
        <w:rPr>
          <w:rFonts w:ascii="新細明體" w:eastAsia="新細明體" w:hAnsi="新細明體" w:hint="eastAsia"/>
        </w:rPr>
        <w:t>家庭經濟收支的問題T</w:t>
      </w:r>
    </w:p>
    <w:tbl>
      <w:tblPr>
        <w:tblStyle w:val="a7"/>
        <w:tblW w:w="0" w:type="auto"/>
        <w:tblLook w:val="04A0" w:firstRow="1" w:lastRow="0" w:firstColumn="1" w:lastColumn="0" w:noHBand="0" w:noVBand="1"/>
      </w:tblPr>
      <w:tblGrid>
        <w:gridCol w:w="4847"/>
        <w:gridCol w:w="4847"/>
      </w:tblGrid>
      <w:tr w:rsidR="00B631ED" w:rsidTr="00B631ED">
        <w:tc>
          <w:tcPr>
            <w:tcW w:w="4847" w:type="dxa"/>
          </w:tcPr>
          <w:p w:rsidR="00B631ED" w:rsidRDefault="00B631ED" w:rsidP="001C52D6">
            <w:pPr>
              <w:rPr>
                <w:rFonts w:ascii="新細明體" w:eastAsia="新細明體" w:hAnsi="新細明體"/>
              </w:rPr>
            </w:pPr>
            <w:r w:rsidRPr="00B631ED">
              <w:rPr>
                <w:rFonts w:ascii="新細明體" w:eastAsia="新細明體" w:hAnsi="新細明體" w:hint="eastAsia"/>
              </w:rPr>
              <w:t>測試</w:t>
            </w:r>
          </w:p>
        </w:tc>
        <w:tc>
          <w:tcPr>
            <w:tcW w:w="4847" w:type="dxa"/>
          </w:tcPr>
          <w:p w:rsidR="00B631ED" w:rsidRDefault="00B631ED" w:rsidP="001C52D6">
            <w:pPr>
              <w:rPr>
                <w:rFonts w:ascii="新細明體" w:eastAsia="新細明體" w:hAnsi="新細明體"/>
              </w:rPr>
            </w:pPr>
            <w:r w:rsidRPr="00B631ED">
              <w:rPr>
                <w:rFonts w:ascii="新細明體" w:eastAsia="新細明體" w:hAnsi="新細明體" w:hint="eastAsia"/>
              </w:rPr>
              <w:t>不同家庭生命週期觀點</w:t>
            </w:r>
          </w:p>
        </w:tc>
      </w:tr>
      <w:tr w:rsidR="00B631ED" w:rsidTr="00B631ED">
        <w:tc>
          <w:tcPr>
            <w:tcW w:w="4847" w:type="dxa"/>
          </w:tcPr>
          <w:p w:rsidR="00B631ED" w:rsidRDefault="00B631ED" w:rsidP="001C52D6">
            <w:pPr>
              <w:rPr>
                <w:rFonts w:ascii="新細明體" w:eastAsia="新細明體" w:hAnsi="新細明體"/>
              </w:rPr>
            </w:pPr>
            <w:r w:rsidRPr="00B631ED">
              <w:rPr>
                <w:rFonts w:ascii="新細明體" w:eastAsia="新細明體" w:hAnsi="新細明體" w:hint="eastAsia"/>
              </w:rPr>
              <w:t>未婚女性</w:t>
            </w:r>
          </w:p>
        </w:tc>
        <w:tc>
          <w:tcPr>
            <w:tcW w:w="4847" w:type="dxa"/>
          </w:tcPr>
          <w:p w:rsidR="00B631ED" w:rsidRDefault="00B631ED" w:rsidP="001C52D6">
            <w:pPr>
              <w:rPr>
                <w:rFonts w:ascii="新細明體" w:eastAsia="新細明體" w:hAnsi="新細明體"/>
              </w:rPr>
            </w:pPr>
            <w:r w:rsidRPr="00B631ED">
              <w:rPr>
                <w:rFonts w:ascii="新細明體" w:eastAsia="新細明體" w:hAnsi="新細明體" w:hint="eastAsia"/>
              </w:rPr>
              <w:t>消費著重在個人</w:t>
            </w:r>
          </w:p>
        </w:tc>
      </w:tr>
    </w:tbl>
    <w:p w:rsidR="00B631ED" w:rsidRPr="00140371" w:rsidRDefault="00B631ED" w:rsidP="001C52D6">
      <w:pPr>
        <w:rPr>
          <w:rFonts w:ascii="新細明體" w:eastAsia="新細明體" w:hAnsi="新細明體"/>
        </w:rPr>
      </w:pPr>
    </w:p>
    <w:p w:rsidR="007B0D50" w:rsidRPr="00140371" w:rsidRDefault="00192C15" w:rsidP="001C52D6">
      <w:pPr>
        <w:rPr>
          <w:rFonts w:ascii="新細明體" w:eastAsia="新細明體" w:hAnsi="新細明體"/>
        </w:rPr>
      </w:pPr>
      <w:r>
        <w:rPr>
          <w:rFonts w:ascii="新細明體" w:eastAsia="新細明體" w:hAnsi="新細明體"/>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202.3pt">
            <v:imagedata r:id="rId8" o:title="6-5a"/>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台灣地圖F</w:t>
      </w:r>
    </w:p>
    <w:p w:rsidR="007B0D50" w:rsidRPr="00140371" w:rsidRDefault="007B0D50" w:rsidP="001C52D6">
      <w:pPr>
        <w:rPr>
          <w:rFonts w:ascii="新細明體" w:eastAsia="新細明體" w:hAnsi="新細明體"/>
        </w:rPr>
      </w:pP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文獻探討1</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消費行為之相關探討2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消費的本質是一個決策單位(個人、家庭等)在既有的情境下，取得資訊、處理資訊，並採取行動以滿足並提升其生活型態。早期的消費行為強調購買時消費者和產品間的互動，現今則認為消費者的行為是一持續的過程，不只包括消費者得到產品或服務，付出金錢或使用信用卡</w:t>
      </w:r>
      <w:r w:rsidRPr="00140371">
        <w:rPr>
          <w:rFonts w:ascii="新細明體" w:eastAsia="新細明體" w:hAnsi="新細明體" w:hint="eastAsia"/>
        </w:rPr>
        <w:lastRenderedPageBreak/>
        <w:t>購買時的行為，還應包括許多購買前以及購買後的行為和反應。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各學者對於消費者行為之定義T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970"/>
        <w:gridCol w:w="6689"/>
      </w:tblGrid>
      <w:tr w:rsidR="007B0D50" w:rsidRPr="00140371" w:rsidTr="0070192A">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學者</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年代</w:t>
            </w:r>
          </w:p>
        </w:tc>
        <w:tc>
          <w:tcPr>
            <w:tcW w:w="6689"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定義</w:t>
            </w:r>
          </w:p>
        </w:tc>
      </w:tr>
      <w:tr w:rsidR="007B0D50" w:rsidRPr="00140371" w:rsidTr="0070192A">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Walter&amp;Paul</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1970</w:t>
            </w:r>
          </w:p>
        </w:tc>
        <w:tc>
          <w:tcPr>
            <w:tcW w:w="6689" w:type="dxa"/>
          </w:tcPr>
          <w:p w:rsidR="007B0D50" w:rsidRPr="00140371" w:rsidRDefault="007B0D50" w:rsidP="001C52D6">
            <w:pPr>
              <w:rPr>
                <w:rFonts w:ascii="新細明體" w:eastAsia="新細明體" w:hAnsi="新細明體"/>
              </w:rPr>
            </w:pPr>
            <w:r w:rsidRPr="00140371">
              <w:rPr>
                <w:rFonts w:ascii="新細明體" w:eastAsia="新細明體" w:hAnsi="新細明體"/>
              </w:rPr>
              <w:t>消費者行為，是人們在購買和使用產品或是勞務時，所涉及的決策和行為。</w:t>
            </w:r>
          </w:p>
        </w:tc>
      </w:tr>
      <w:tr w:rsidR="007B0D50" w:rsidRPr="00140371" w:rsidTr="0070192A">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Engel, Kollat&amp;Blackell</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1973</w:t>
            </w:r>
          </w:p>
        </w:tc>
        <w:tc>
          <w:tcPr>
            <w:tcW w:w="6689" w:type="dxa"/>
          </w:tcPr>
          <w:p w:rsidR="007B0D50" w:rsidRPr="00140371" w:rsidRDefault="007B0D50" w:rsidP="001C52D6">
            <w:pPr>
              <w:rPr>
                <w:rFonts w:ascii="新細明體" w:eastAsia="新細明體" w:hAnsi="新細明體"/>
              </w:rPr>
            </w:pPr>
            <w:r w:rsidRPr="00140371">
              <w:rPr>
                <w:rFonts w:ascii="新細明體" w:eastAsia="新細明體" w:hAnsi="新細明體"/>
              </w:rPr>
              <w:t>狹義的定義：「為獲得和使用經濟性商品以及服務，個人所直接投入的行為，包含的討置以及決定這些行為的決策過程。」廣義的定義：「除了狹義的消費者購買行為之外，還有包含了非營利組織、工業組織以及中間商的採購行為。」</w:t>
            </w:r>
          </w:p>
        </w:tc>
      </w:tr>
      <w:tr w:rsidR="007B0D50" w:rsidRPr="00140371" w:rsidTr="0070192A">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Demby</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1973</w:t>
            </w:r>
          </w:p>
        </w:tc>
        <w:tc>
          <w:tcPr>
            <w:tcW w:w="6689" w:type="dxa"/>
          </w:tcPr>
          <w:p w:rsidR="007B0D50" w:rsidRPr="00140371" w:rsidRDefault="007B0D50" w:rsidP="001C52D6">
            <w:pPr>
              <w:rPr>
                <w:rFonts w:ascii="新細明體" w:eastAsia="新細明體" w:hAnsi="新細明體"/>
              </w:rPr>
            </w:pPr>
            <w:r w:rsidRPr="00140371">
              <w:rPr>
                <w:rFonts w:ascii="新細明體" w:eastAsia="新細明體" w:hAnsi="新細明體"/>
              </w:rPr>
              <w:t>人們評估還有取得以及使用具有經濟價值的商品或是服務時的一種連串決策過程與購買行為。</w:t>
            </w:r>
          </w:p>
        </w:tc>
      </w:tr>
    </w:tbl>
    <w:p w:rsidR="00E24931" w:rsidRDefault="00E24931" w:rsidP="001C52D6">
      <w:pPr>
        <w:rPr>
          <w:rFonts w:ascii="新細明體" w:eastAsia="新細明體" w:hAnsi="新細明體"/>
        </w:rPr>
      </w:pPr>
    </w:p>
    <w:p w:rsidR="007B0D50" w:rsidRPr="00140371" w:rsidRDefault="007B0D50" w:rsidP="001C52D6">
      <w:pPr>
        <w:rPr>
          <w:rFonts w:ascii="新細明體" w:eastAsia="新細明體" w:hAnsi="新細明體"/>
        </w:rPr>
      </w:pPr>
      <w:r w:rsidRPr="00140371">
        <w:rPr>
          <w:rFonts w:ascii="新細明體" w:eastAsia="新細明體" w:hAnsi="新細明體" w:hint="eastAsia"/>
        </w:rPr>
        <w:t>三大消費者行為模型T</w:t>
      </w:r>
    </w:p>
    <w:tbl>
      <w:tblPr>
        <w:tblW w:w="48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Look w:val="04A0" w:firstRow="1" w:lastRow="0" w:firstColumn="1" w:lastColumn="0" w:noHBand="0" w:noVBand="1"/>
      </w:tblPr>
      <w:tblGrid>
        <w:gridCol w:w="1900"/>
        <w:gridCol w:w="7655"/>
      </w:tblGrid>
      <w:tr w:rsidR="007B0D50" w:rsidRPr="00140371" w:rsidTr="00657217">
        <w:tc>
          <w:tcPr>
            <w:tcW w:w="994"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模式名稱</w:t>
            </w:r>
          </w:p>
        </w:tc>
        <w:tc>
          <w:tcPr>
            <w:tcW w:w="4006"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主要論點</w:t>
            </w:r>
          </w:p>
        </w:tc>
      </w:tr>
      <w:tr w:rsidR="007B0D50" w:rsidRPr="00140371" w:rsidTr="00657217">
        <w:tc>
          <w:tcPr>
            <w:tcW w:w="994" w:type="pct"/>
          </w:tcPr>
          <w:p w:rsidR="007B0D50" w:rsidRPr="00140371" w:rsidRDefault="007B0D50" w:rsidP="001C52D6">
            <w:pPr>
              <w:rPr>
                <w:rFonts w:ascii="新細明體" w:eastAsia="新細明體" w:hAnsi="新細明體"/>
              </w:rPr>
            </w:pPr>
            <w:r w:rsidRPr="00140371">
              <w:rPr>
                <w:rFonts w:ascii="新細明體" w:eastAsia="新細明體" w:hAnsi="新細明體"/>
              </w:rPr>
              <w:t xml:space="preserve">Nicosia </w:t>
            </w:r>
            <w:r w:rsidRPr="00140371">
              <w:rPr>
                <w:rFonts w:ascii="新細明體" w:eastAsia="新細明體" w:hAnsi="新細明體" w:hint="eastAsia"/>
              </w:rPr>
              <w:t>模式</w:t>
            </w:r>
          </w:p>
        </w:tc>
        <w:tc>
          <w:tcPr>
            <w:tcW w:w="4006"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主要將消費行為分為以下四個領域：</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消費者態度：基於廠商提供的資訊而形成。</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尋求與評估：消費者主動蒐集相關資訊以為評估標準。</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購買行動：將動機轉為實質購買。</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回饋：形成消費者經驗以為廠商改進之參考。</w:t>
            </w:r>
          </w:p>
        </w:tc>
      </w:tr>
    </w:tbl>
    <w:p w:rsidR="007B0D50" w:rsidRPr="00140371" w:rsidRDefault="007B0D50" w:rsidP="001C52D6">
      <w:pPr>
        <w:rPr>
          <w:rFonts w:ascii="新細明體" w:eastAsia="新細明體" w:hAnsi="新細明體"/>
        </w:rPr>
      </w:pPr>
    </w:p>
    <w:p w:rsidR="007B0D50" w:rsidRPr="00140371" w:rsidRDefault="00192C15" w:rsidP="001C52D6">
      <w:pPr>
        <w:rPr>
          <w:rFonts w:ascii="新細明體" w:eastAsia="新細明體" w:hAnsi="新細明體"/>
        </w:rPr>
      </w:pPr>
      <w:r>
        <w:rPr>
          <w:rFonts w:ascii="新細明體" w:eastAsia="新細明體" w:hAnsi="新細明體"/>
        </w:rPr>
        <w:pict>
          <v:shape id="_x0000_i1026" type="#_x0000_t75" style="width:203.85pt;height:213.45pt">
            <v:imagedata r:id="rId9" o:title="03-6a"/>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EKB消費行為模式之決策程序五階段F</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服飾消費行為之相關研究2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根據上述EKB消費行為模式中需求確認、情報尋求、方案評估與購買等決策階段，本研究將服裝消費行為分為服裝術性評估基準及服裝消費型態等兩大部分進行探討。屬性指的是消費者對產品本職所據明確特徵的主觀判斷。即廣泛地涵蓋所有消費者對商品有關的知覺。屬性是消費者選擇商品的依據，據全是商品之能力。評估基準是指消費者根據其特別的消費問題，用以比較不同品牌之績效水準或特性，亦即為消費者在選購產品所考量的向度。者些像度是</w:t>
      </w:r>
      <w:r w:rsidRPr="00140371">
        <w:rPr>
          <w:rFonts w:ascii="新細明體" w:eastAsia="新細明體" w:hAnsi="新細明體" w:hint="eastAsia"/>
        </w:rPr>
        <w:lastRenderedPageBreak/>
        <w:t>由產品的屬性與產品有關的特性所組成，消費者比較這些向度符合自我需求的程度來選擇及判斷，以達成購買決策。不同消費者在不同的產品種類中，所使用的評估標準之數量、類型、與重要性亦異。</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裝屬性評估基準分類方法T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57" w:type="dxa"/>
          <w:bottom w:w="57" w:type="dxa"/>
          <w:right w:w="57" w:type="dxa"/>
        </w:tblCellMar>
        <w:tblLook w:val="04A0" w:firstRow="1" w:lastRow="0" w:firstColumn="1" w:lastColumn="0" w:noHBand="0" w:noVBand="1"/>
      </w:tblPr>
      <w:tblGrid>
        <w:gridCol w:w="2042"/>
        <w:gridCol w:w="7710"/>
      </w:tblGrid>
      <w:tr w:rsidR="007B0D50" w:rsidRPr="00140371" w:rsidTr="00E7705F">
        <w:tc>
          <w:tcPr>
            <w:tcW w:w="1047"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研究者</w:t>
            </w:r>
          </w:p>
        </w:tc>
        <w:tc>
          <w:tcPr>
            <w:tcW w:w="3953"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分類方法</w:t>
            </w:r>
          </w:p>
        </w:tc>
      </w:tr>
      <w:tr w:rsidR="007B0D50" w:rsidRPr="00140371" w:rsidTr="00E7705F">
        <w:tc>
          <w:tcPr>
            <w:tcW w:w="1047" w:type="pct"/>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Horn</w:t>
            </w:r>
            <w:r w:rsidR="00192C15">
              <w:rPr>
                <w:rFonts w:ascii="新細明體" w:eastAsia="新細明體" w:hAnsi="新細明體" w:hint="eastAsia"/>
              </w:rPr>
              <w:t xml:space="preserve"> </w:t>
            </w:r>
            <w:bookmarkStart w:id="0" w:name="_GoBack"/>
            <w:bookmarkEnd w:id="0"/>
            <w:r w:rsidRPr="00140371">
              <w:rPr>
                <w:rFonts w:ascii="新細明體" w:eastAsia="新細明體" w:hAnsi="新細明體" w:hint="eastAsia"/>
              </w:rPr>
              <w:t>&amp;</w:t>
            </w:r>
            <w:r w:rsidR="00192C15">
              <w:rPr>
                <w:rFonts w:ascii="新細明體" w:eastAsia="新細明體" w:hAnsi="新細明體" w:hint="eastAsia"/>
              </w:rPr>
              <w:t xml:space="preserve"> </w:t>
            </w:r>
            <w:r w:rsidRPr="00140371">
              <w:rPr>
                <w:rFonts w:ascii="新細明體" w:eastAsia="新細明體" w:hAnsi="新細明體" w:hint="eastAsia"/>
              </w:rPr>
              <w:t>Gurel</w:t>
            </w:r>
            <w:r w:rsidR="00192C15">
              <w:rPr>
                <w:rFonts w:ascii="新細明體" w:eastAsia="新細明體" w:hAnsi="新細明體" w:hint="eastAsia"/>
              </w:rPr>
              <w:t xml:space="preserve"> </w:t>
            </w:r>
            <w:r w:rsidRPr="00140371">
              <w:rPr>
                <w:rFonts w:ascii="新細明體" w:eastAsia="新細明體" w:hAnsi="新細明體" w:hint="eastAsia"/>
              </w:rPr>
              <w:t>(1968)</w:t>
            </w:r>
          </w:p>
        </w:tc>
        <w:tc>
          <w:tcPr>
            <w:tcW w:w="3953"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品質認知(recognizing quality)：如纖維含量、纖維結構、紗線組織、色澤等。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縫工檢測(checking workmanship)：如剪裁、拉鍊或釦子、間接線等細部設計</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合穿度分析(</w:t>
            </w:r>
            <w:r w:rsidRPr="00140371">
              <w:rPr>
                <w:rFonts w:ascii="新細明體" w:eastAsia="新細明體" w:hAnsi="新細明體"/>
              </w:rPr>
              <w:t>analyzing</w:t>
            </w:r>
            <w:r w:rsidRPr="00140371">
              <w:rPr>
                <w:rFonts w:ascii="新細明體" w:eastAsia="新細明體" w:hAnsi="新細明體" w:hint="eastAsia"/>
              </w:rPr>
              <w:t xml:space="preserve"> the fit)：如舒適感等。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 xml:space="preserve">訊息判斷(marking sound </w:t>
            </w:r>
            <w:r w:rsidRPr="00140371">
              <w:rPr>
                <w:rFonts w:ascii="新細明體" w:eastAsia="新細明體" w:hAnsi="新細明體"/>
              </w:rPr>
              <w:t>judgments</w:t>
            </w:r>
            <w:r w:rsidRPr="00140371">
              <w:rPr>
                <w:rFonts w:ascii="新細明體" w:eastAsia="新細明體" w:hAnsi="新細明體" w:hint="eastAsia"/>
              </w:rPr>
              <w:t>)：如品牌名稱、標示等。</w:t>
            </w:r>
          </w:p>
        </w:tc>
      </w:tr>
      <w:tr w:rsidR="007B0D50" w:rsidRPr="00140371" w:rsidTr="00E7705F">
        <w:tc>
          <w:tcPr>
            <w:tcW w:w="1047" w:type="pct"/>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Olson，Jcaoby</w:t>
            </w:r>
          </w:p>
        </w:tc>
        <w:tc>
          <w:tcPr>
            <w:tcW w:w="3953"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 xml:space="preserve">內在線索(intrinsic cues)：是指不能改變或操弄的商品本身屬性特質，如色彩、布料成分等。 </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外在線索(extrinsiccues)：是指非商品本身之物質特性、而由製造商或銷售商所運作及附加屬性，如品牌、價格等。</w:t>
            </w:r>
          </w:p>
        </w:tc>
      </w:tr>
      <w:tr w:rsidR="007B0D50" w:rsidRPr="00140371" w:rsidTr="00E7705F">
        <w:tc>
          <w:tcPr>
            <w:tcW w:w="1047" w:type="pct"/>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Eckman</w:t>
            </w:r>
          </w:p>
        </w:tc>
        <w:tc>
          <w:tcPr>
            <w:tcW w:w="3953" w:type="pct"/>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美觀的(aesthetic criteria)：如色彩、款式等。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實用的(usefulness criteria)：如多樣性、可搭配性、實用性等。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機能與品質的(performance and quality)：如合穿、舒適等。</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外部的(extrinsic criteria)：如價格品牌等</w:t>
            </w:r>
          </w:p>
        </w:tc>
      </w:tr>
    </w:tbl>
    <w:p w:rsidR="00E24931" w:rsidRDefault="00E24931" w:rsidP="001C52D6">
      <w:pPr>
        <w:rPr>
          <w:rFonts w:ascii="新細明體" w:eastAsia="新細明體" w:hAnsi="新細明體"/>
        </w:rPr>
      </w:pP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服裝消費型態2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型態(pattern)即模式、典範，是足以說明同類事務共同性的普遍實力。而服裝消費型態及婦女在進行服裝交費時所呈現共同性的普遍實例，包括購買服裝時所有活動類型。本研究所指的服裝消費型態，除EKB消費行為為模式中的決策程序之第四步驟「購買」階段，即包括何時購買、何處購買、購買多少、如何購買、誰參與購買等活動外，並考量消費者在「購買」階段時，可能重新經歷如EKB模式中的需求確認或情報蒐集等階段，因而將需求確認、情報蒐集與購買階段，同時列入本研究之服裝消費行為中進行探討。</w:t>
      </w:r>
    </w:p>
    <w:p w:rsidR="007B0D50" w:rsidRPr="00140371" w:rsidRDefault="00192C15" w:rsidP="001C52D6">
      <w:pPr>
        <w:rPr>
          <w:rFonts w:ascii="新細明體" w:eastAsia="新細明體" w:hAnsi="新細明體"/>
        </w:rPr>
      </w:pPr>
      <w:r>
        <w:rPr>
          <w:rFonts w:ascii="新細明體" w:eastAsia="新細明體" w:hAnsi="新細明體"/>
        </w:rPr>
        <w:pict>
          <v:shape id="_x0000_i1027" type="#_x0000_t75" style="width:283.45pt;height:190.15pt">
            <v:imagedata r:id="rId10" o:title="8-3a"/>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EKB模式中的需求確認或情報蒐集F</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研究方法1</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lastRenderedPageBreak/>
        <w:t>本研究方法採質的研究方法中的深度訪談法，為非隨機抽樣中方法中的便利抽樣。非隨機抽樣是無法估計母體中美一個元素被選入樣美的機會或機率，非隨機抽樣相較於機率抽樣較節省成本，且應用方便。非隨機抽樣事按人為意志選擇母體中具代表性的樣本，以研究者本身主觀的方法選擇。此外，本研究結合簡單問卷的方式做為輔助，呈現的方法以地理資訊系GIS地理資訊系統的概念，使用地圖的方法呈現。本研究運用人文社會地理資訊系統（Humanist and Social GIS）作為研究工具。</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研究設計2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人文社會科學的「屬人」的視覺化研究對象，其實就是探究一切和人相關的「人、事、時、地、物」，是研究一種社會關係在空間上的展現。「屬物」的自然科學對象，如山川、地質、等高線、地震脈向與氣候等都將成為「屬人」的視覺化研究對象所搭配的背景說明。於是，「數位化社會地圖」（Digital Social Maps）就顛倒了原來以自然科學為典範的GIS思考，轉而是以人文社會科學的「屬人」的視覺化研究為主體，自然科學「屬物」的對象為輔助。簡單講，人文社會地理資訊系統，就是將人文社會科學視覺化（Visualization）的過程。</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研究對象2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本研究以探討婚後女性服飾消費行為改變之研究探討，以16位已婚女性為訪談觀察對象，使用非隨機抽樣訪法中的便利抽樣進行研究。</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非隨機抽樣訪法中的便利抽樣T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1176"/>
        <w:gridCol w:w="696"/>
        <w:gridCol w:w="742"/>
        <w:gridCol w:w="1176"/>
        <w:gridCol w:w="1656"/>
        <w:gridCol w:w="1656"/>
      </w:tblGrid>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編號</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特質</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年齡</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婚齡</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子女個數</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原生居住地點</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婚後居住地點</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26</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高雄市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板橋市</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002</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32</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5年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台中市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高雄市</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003</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39</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9年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中壢市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桃園市</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004</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家庭主婦</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48</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26年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高雄市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高雄市</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005</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40</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桃園市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麻豆鎮</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006</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家庭主婦</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31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4年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台中市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美濃鎮</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007</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31</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10年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台北市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龍潭鄉</w:t>
            </w:r>
          </w:p>
        </w:tc>
      </w:tr>
      <w:tr w:rsidR="007B0D50" w:rsidRPr="00140371" w:rsidTr="00C36D02">
        <w:trPr>
          <w:trHeight w:val="511"/>
        </w:trPr>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008</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職業婦女</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40</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25年</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2</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高雄市</w:t>
            </w:r>
          </w:p>
        </w:tc>
        <w:tc>
          <w:tcPr>
            <w:tcW w:w="0" w:type="auto"/>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楊梅鎮</w:t>
            </w:r>
          </w:p>
        </w:tc>
      </w:tr>
    </w:tbl>
    <w:p w:rsidR="007B0D50" w:rsidRPr="00140371" w:rsidRDefault="00192C15" w:rsidP="001C52D6">
      <w:pPr>
        <w:rPr>
          <w:rFonts w:ascii="新細明體" w:eastAsia="新細明體" w:hAnsi="新細明體"/>
        </w:rPr>
      </w:pPr>
      <w:r>
        <w:rPr>
          <w:rFonts w:ascii="新細明體" w:eastAsia="新細明體" w:hAnsi="新細明體"/>
        </w:rPr>
        <w:lastRenderedPageBreak/>
        <w:pict>
          <v:shape id="_x0000_i1028" type="#_x0000_t75" style="width:265.2pt;height:198.75pt">
            <v:imagedata r:id="rId11" o:title="11-1a"/>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視覺化研究對象F</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研究結果1</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研究結果分兩部分，第一部分是不同家庭生命週期消費特性與狀況統合表，第二部分以婚姻前後，居住地的城鄉變化，</w:t>
      </w:r>
      <w:r w:rsidRPr="00140371">
        <w:rPr>
          <w:rFonts w:ascii="新細明體" w:eastAsia="新細明體" w:hAnsi="新細明體"/>
        </w:rPr>
        <w:t>此階段仍</w:t>
      </w:r>
      <w:r w:rsidRPr="00140371">
        <w:rPr>
          <w:rFonts w:ascii="新細明體" w:eastAsia="新細明體" w:hAnsi="新細明體" w:hint="eastAsia"/>
        </w:rPr>
        <w:t>與婚前消費模式均無太大差異，但因將購屋等因素會逐漸考慮服裝價格。</w:t>
      </w:r>
      <w:r w:rsidRPr="00140371">
        <w:rPr>
          <w:rFonts w:ascii="新細明體" w:eastAsia="新細明體" w:hAnsi="新細明體"/>
        </w:rPr>
        <w:t>此階段對流行與新聞開發事物感興趣，傾向將大多數收入花費於服裝（特別是高流行感的服裝）、餐飲、休閒活動等消費商品與服務。</w:t>
      </w:r>
      <w:r w:rsidRPr="00140371">
        <w:rPr>
          <w:rFonts w:ascii="新細明體" w:eastAsia="新細明體" w:hAnsi="新細明體" w:hint="eastAsia"/>
        </w:rPr>
        <w:t>如所示。</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不同家庭生命週期消費特性與狀況T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57" w:type="dxa"/>
          <w:left w:w="57" w:type="dxa"/>
          <w:bottom w:w="57" w:type="dxa"/>
          <w:right w:w="57" w:type="dxa"/>
        </w:tblCellMar>
        <w:tblLook w:val="0000" w:firstRow="0" w:lastRow="0" w:firstColumn="0" w:lastColumn="0" w:noHBand="0" w:noVBand="0"/>
      </w:tblPr>
      <w:tblGrid>
        <w:gridCol w:w="3280"/>
        <w:gridCol w:w="3280"/>
        <w:gridCol w:w="3278"/>
      </w:tblGrid>
      <w:tr w:rsidR="007B0D50" w:rsidRPr="00140371" w:rsidTr="00A66D78">
        <w:trPr>
          <w:cantSplit/>
          <w:trHeight w:val="240"/>
        </w:trPr>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家庭生命週期階段</w:t>
            </w:r>
          </w:p>
        </w:tc>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消費階段特性</w:t>
            </w:r>
          </w:p>
        </w:tc>
        <w:tc>
          <w:tcPr>
            <w:tcW w:w="1666"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消費狀況</w:t>
            </w:r>
          </w:p>
        </w:tc>
      </w:tr>
      <w:tr w:rsidR="007B0D50" w:rsidRPr="00140371" w:rsidTr="00A66D78">
        <w:trPr>
          <w:cantSplit/>
          <w:trHeight w:val="1180"/>
        </w:trPr>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婚前</w:t>
            </w:r>
          </w:p>
        </w:tc>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此階段由於尚未結婚，經濟負擔較少。即使是剛開始工作，收入不豐的單身者，仍能自由選擇與支配收入。</w:t>
            </w:r>
          </w:p>
        </w:tc>
        <w:tc>
          <w:tcPr>
            <w:tcW w:w="1666"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此階段對流行與新聞開發事物感興趣，傾向將大多數收入花費於服裝（特別是高流行感的服裝）、餐飲、休閒活動等消費商品與服務。</w:t>
            </w:r>
          </w:p>
        </w:tc>
      </w:tr>
      <w:tr w:rsidR="007B0D50" w:rsidRPr="00140371" w:rsidTr="00A66D78">
        <w:trPr>
          <w:cantSplit/>
          <w:trHeight w:val="960"/>
        </w:trPr>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婚後未有子女</w:t>
            </w:r>
          </w:p>
        </w:tc>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此階段由於結婚、無子女。若夫婦二人均工作，較單身期者具有高支配度的收入。</w:t>
            </w:r>
          </w:p>
        </w:tc>
        <w:tc>
          <w:tcPr>
            <w:tcW w:w="1666"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此階段仍</w:t>
            </w:r>
            <w:r w:rsidRPr="00140371">
              <w:rPr>
                <w:rFonts w:ascii="新細明體" w:eastAsia="新細明體" w:hAnsi="新細明體" w:hint="eastAsia"/>
              </w:rPr>
              <w:t>與婚前消費模式均無太大差異，但因將購屋等因素會逐漸考慮服裝價格。</w:t>
            </w:r>
          </w:p>
        </w:tc>
      </w:tr>
      <w:tr w:rsidR="007B0D50" w:rsidRPr="00140371" w:rsidTr="00A66D78">
        <w:trPr>
          <w:cantSplit/>
          <w:trHeight w:val="1440"/>
        </w:trPr>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hint="eastAsia"/>
              </w:rPr>
              <w:t>婚後最小子女未滿六歲</w:t>
            </w:r>
          </w:p>
        </w:tc>
        <w:tc>
          <w:tcPr>
            <w:tcW w:w="1667"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此階段由於子女的陸續誕生，是家庭組成大小改變、不同需求增加。然家庭收入卻可能因為妻子離開原有工作以照料幼兒而形成家庭經濟壓</w:t>
            </w:r>
            <w:r w:rsidRPr="00140371">
              <w:rPr>
                <w:rFonts w:ascii="新細明體" w:eastAsia="新細明體" w:hAnsi="新細明體" w:hint="eastAsia"/>
              </w:rPr>
              <w:t>力</w:t>
            </w:r>
            <w:r w:rsidRPr="00140371">
              <w:rPr>
                <w:rFonts w:ascii="新細明體" w:eastAsia="新細明體" w:hAnsi="新細明體"/>
              </w:rPr>
              <w:t>。</w:t>
            </w:r>
          </w:p>
        </w:tc>
        <w:tc>
          <w:tcPr>
            <w:tcW w:w="1666" w:type="pct"/>
            <w:shd w:val="clear" w:color="auto" w:fill="FFFFFF"/>
            <w:tcMar>
              <w:top w:w="100" w:type="dxa"/>
              <w:left w:w="100" w:type="dxa"/>
              <w:bottom w:w="100" w:type="dxa"/>
              <w:right w:w="100" w:type="dxa"/>
            </w:tcMar>
          </w:tcPr>
          <w:p w:rsidR="007B0D50" w:rsidRPr="00140371" w:rsidRDefault="007B0D50" w:rsidP="001C52D6">
            <w:pPr>
              <w:rPr>
                <w:rFonts w:ascii="新細明體" w:eastAsia="新細明體" w:hAnsi="新細明體"/>
              </w:rPr>
            </w:pPr>
            <w:r w:rsidRPr="00140371">
              <w:rPr>
                <w:rFonts w:ascii="新細明體" w:eastAsia="新細明體" w:hAnsi="新細明體"/>
              </w:rPr>
              <w:t>此階段是家庭用品購買的高峰期，且明顯花費於嬰幼兒相關商品上，而壓縮其他商品或活動的消費。</w:t>
            </w:r>
          </w:p>
        </w:tc>
      </w:tr>
    </w:tbl>
    <w:p w:rsidR="007B0D50" w:rsidRPr="00140371" w:rsidRDefault="007B0D50" w:rsidP="001C52D6">
      <w:pPr>
        <w:rPr>
          <w:rFonts w:ascii="新細明體" w:eastAsia="新細明體" w:hAnsi="新細明體"/>
        </w:rPr>
      </w:pPr>
      <w:r w:rsidRPr="00140371">
        <w:rPr>
          <w:rFonts w:ascii="新細明體" w:eastAsia="新細明體" w:hAnsi="新細明體" w:hint="eastAsia"/>
        </w:rPr>
        <w:t>都市嫁都市2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從都市嫁到都市的女性來說，婚前與婚後消費地圖的改變並不大。原因在於都市機能好，生活便利。(百貨公司，選擇比較多，停車又比較方便，而且一下子就到了003)。都市與都市之間仍有程度上的區別，在婚前與婚後未有子女時，女性願意花費較多的時間到距離較遠的商</w:t>
      </w:r>
      <w:r w:rsidRPr="00140371">
        <w:rPr>
          <w:rFonts w:ascii="新細明體" w:eastAsia="新細明體" w:hAnsi="新細明體" w:hint="eastAsia"/>
        </w:rPr>
        <w:lastRenderedPageBreak/>
        <w:t>圈購買。(東區商家很多，不僅有百貨公司，還有很多精品小店，板橋雖然生活機能很好，但買衣服還是會想去東區001)</w:t>
      </w:r>
    </w:p>
    <w:p w:rsidR="007B0D50" w:rsidRPr="00140371" w:rsidRDefault="00192C15" w:rsidP="001C52D6">
      <w:pPr>
        <w:rPr>
          <w:rFonts w:ascii="新細明體" w:eastAsia="新細明體" w:hAnsi="新細明體"/>
        </w:rPr>
      </w:pPr>
      <w:r>
        <w:rPr>
          <w:rFonts w:ascii="新細明體" w:eastAsia="新細明體" w:hAnsi="新細明體"/>
        </w:rPr>
        <w:pict>
          <v:shape id="圖片 21" o:spid="_x0000_i1029" type="#_x0000_t75" style="width:322.5pt;height:219.05pt;visibility:visible">
            <v:imagedata r:id="rId12" o:title=""/>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都市嫁都市(高雄市 板橋市)F</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都市嫁鄉下2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婚前生活機能較好，對於服飾消費上有相當多的選擇商圈，大多選擇據理自家或工作地點較近的地區，消費地圖消費地圖短。婚後未有子女時，開車到市區購買服裝意願強（剛結婚從市區搬到鄉下很不習慣，就算再遠也會跑到市區去逛005），消費地圖消費地圖相對來的大。</w:t>
      </w:r>
    </w:p>
    <w:p w:rsidR="007B0D50" w:rsidRPr="00140371" w:rsidRDefault="00192C15" w:rsidP="001C52D6">
      <w:pPr>
        <w:rPr>
          <w:rFonts w:ascii="新細明體" w:eastAsia="新細明體" w:hAnsi="新細明體"/>
        </w:rPr>
      </w:pPr>
      <w:r>
        <w:rPr>
          <w:rFonts w:ascii="新細明體" w:eastAsia="新細明體" w:hAnsi="新細明體"/>
        </w:rPr>
        <w:pict>
          <v:shape id="圖片 22" o:spid="_x0000_i1030" type="#_x0000_t75" style="width:270.75pt;height:181.5pt;visibility:visible">
            <v:imagedata r:id="rId13" o:title=""/>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都市嫁鄉下(高雄市 楊梅鎮)F</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鄉下到鄉下2</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婚後子女孕育期與成長期，需要陪伴子女時間較長，鮮少購買服裝，對於服裝的消費地點會有所變更會，此時期通常於住家或公司附近服裝店進行選購，或是必要時前往市區 (找不到才會去市區買，不然一趟車程，來回都快要兩三個小時，時間不夠007)。子女可獨立後，消費地圖的消費地圖拉長。從都市嫁到鄉下的女性，大多回到原生地會到其所熟市的商家或是商圈進行服飾消費，地方感強。(回娘家就順便把要買的買一買，選擇比較多，而且又很熟哪裡比較便宜、比較好逛006)。因此，此種模式的消費地圖消費地圖最常。</w:t>
      </w:r>
    </w:p>
    <w:p w:rsidR="007B0D50" w:rsidRPr="00140371" w:rsidRDefault="007B0D50" w:rsidP="001C52D6">
      <w:pPr>
        <w:rPr>
          <w:rFonts w:ascii="新細明體" w:eastAsia="新細明體" w:hAnsi="新細明體"/>
        </w:rPr>
      </w:pPr>
    </w:p>
    <w:p w:rsidR="007B0D50" w:rsidRPr="00140371" w:rsidRDefault="00192C15" w:rsidP="001C52D6">
      <w:pPr>
        <w:rPr>
          <w:rFonts w:ascii="新細明體" w:eastAsia="新細明體" w:hAnsi="新細明體"/>
        </w:rPr>
      </w:pPr>
      <w:r>
        <w:rPr>
          <w:rFonts w:ascii="新細明體" w:eastAsia="新細明體" w:hAnsi="新細明體"/>
        </w:rPr>
        <w:lastRenderedPageBreak/>
        <w:pict>
          <v:shape id="圖片 23" o:spid="_x0000_i1031" type="#_x0000_t75" style="width:229.7pt;height:157.7pt;visibility:visible">
            <v:imagedata r:id="rId14" o:title=""/>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鄉下到鄉下(仁武 仁武)</w:t>
      </w:r>
    </w:p>
    <w:p w:rsidR="007B0D50" w:rsidRPr="00140371" w:rsidRDefault="007B0D50" w:rsidP="001C52D6">
      <w:pPr>
        <w:rPr>
          <w:rFonts w:ascii="新細明體" w:eastAsia="新細明體" w:hAnsi="新細明體"/>
        </w:rPr>
      </w:pP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結論1</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本研究以非隨機抽樣中便利抽樣抽取16位已婚女性，以深度訪談的方式，完成此份研究，研究目的，在於以不同家庭生命週期觀點，來探討婚姻前後女性服飾消費行為的改變，並以利用消費地圖的概念以地圖的方式呈現出婚姻前後女性購買服飾地圖的轉變，歸納如下結論</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婚前及婚後未有子女時，對於服裝屬性的評估擠準與婚後有子女時有所不同。婚前，婚前對於服裝外觀性，重是款式流行度、色彩以及細部設計；功能性方面，強調搭配性的重要；服裝表達性，其穿著服裝得到讚美。婚後未有子女，在外觀性著重剪裁及樣式；功能性方面，相較於上時期強調實穿性；表達性方面，強調服裝符合自我年齡及地位。婚後子女孕育期，外觀性強調剪裁與實穿性；功能性著重耐洗；此時期相較於過去不重視服裝表達性，其因重心放於子女身上。婚後子女成長期，外觀性，款市素雅合身、實穿；功能性，強調布料材質、觸感、保管方式；表達性，符合自我身分地位。子女獨立後，外觀強調素雅、實穿、環保健康；功能性，講求布料材質、觸感；表達性，休閒舒適為主。</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婚前消費影響，影響者不分多為自己及朋友、男朋友，傳媒部分，受流行雜誌、電視廣告、名人為多。消費頻率約一個月兩次。消費地點，多為百貨公司。婚後未有子女時，影響者多為配偶及朋友，傳媒部分受櫥窗影響較多，消費頻率約一個月兩次，消費地點為百貨公司較多。婚後子女孕育期，消費影響者，多為自己及店員，傳媒部分則以廣告及雜誌較多，消費頻率減少，約三到五個月才會購買，百貨公司已不常為選擇地點，因子女成長所需費用高，選擇服裝考慮價格因素提升。婚後子女成長期，消費影響者多為自己及店員，受傳媒影響度較小，消費頻率漸減，多為節慶時貨場合需要才去選購，選購地點，多為單一品牌精品店、或百貨公司折扣季時。婚後子女可獨立後，消費影響者多為自己，受傳媒影響度小，消費頻率增加，因社經地位穩定、退休後自我時間增加，消費力為所有時期最強，購買地點多為精品店、百貨公司。</w: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非隨機抽樣中便利抽樣抽取16位已婚女性T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970"/>
        <w:gridCol w:w="6689"/>
      </w:tblGrid>
      <w:tr w:rsidR="007B0D50" w:rsidRPr="00140371" w:rsidTr="00B41F77">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Engel, Kollat&amp;Blackell</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1973</w:t>
            </w:r>
          </w:p>
        </w:tc>
        <w:tc>
          <w:tcPr>
            <w:tcW w:w="6689" w:type="dxa"/>
          </w:tcPr>
          <w:p w:rsidR="007B0D50" w:rsidRPr="00140371" w:rsidRDefault="007B0D50" w:rsidP="001C52D6">
            <w:pPr>
              <w:rPr>
                <w:rFonts w:ascii="新細明體" w:eastAsia="新細明體" w:hAnsi="新細明體"/>
              </w:rPr>
            </w:pPr>
            <w:r w:rsidRPr="00140371">
              <w:rPr>
                <w:rFonts w:ascii="新細明體" w:eastAsia="新細明體" w:hAnsi="新細明體"/>
              </w:rPr>
              <w:t>狹義的定義：「為獲得和使用經濟性商品以及服務，個人所直接投入的行為，包含的討置以及決定這些行為的決策過程。」廣義的定義：「除了狹義的消費者購買行為之外，還有包含了非營利組織、工業組織以及中間商的採購行為。」</w:t>
            </w:r>
          </w:p>
        </w:tc>
      </w:tr>
      <w:tr w:rsidR="007B0D50" w:rsidRPr="00140371" w:rsidTr="00B41F77">
        <w:tc>
          <w:tcPr>
            <w:tcW w:w="1663"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Demby</w:t>
            </w:r>
          </w:p>
        </w:tc>
        <w:tc>
          <w:tcPr>
            <w:tcW w:w="970" w:type="dxa"/>
            <w:vAlign w:val="center"/>
          </w:tcPr>
          <w:p w:rsidR="007B0D50" w:rsidRPr="00140371" w:rsidRDefault="007B0D50" w:rsidP="001C52D6">
            <w:pPr>
              <w:rPr>
                <w:rFonts w:ascii="新細明體" w:eastAsia="新細明體" w:hAnsi="新細明體"/>
              </w:rPr>
            </w:pPr>
            <w:r w:rsidRPr="00140371">
              <w:rPr>
                <w:rFonts w:ascii="新細明體" w:eastAsia="新細明體" w:hAnsi="新細明體"/>
              </w:rPr>
              <w:t>1973</w:t>
            </w:r>
          </w:p>
        </w:tc>
        <w:tc>
          <w:tcPr>
            <w:tcW w:w="6689" w:type="dxa"/>
          </w:tcPr>
          <w:p w:rsidR="007B0D50" w:rsidRPr="00140371" w:rsidRDefault="007B0D50" w:rsidP="001C52D6">
            <w:pPr>
              <w:rPr>
                <w:rFonts w:ascii="新細明體" w:eastAsia="新細明體" w:hAnsi="新細明體"/>
              </w:rPr>
            </w:pPr>
            <w:r w:rsidRPr="00140371">
              <w:rPr>
                <w:rFonts w:ascii="新細明體" w:eastAsia="新細明體" w:hAnsi="新細明體"/>
              </w:rPr>
              <w:t>人們評估還有取得以及使用具有經濟價值的商品或是服務時的一種連串決策過程與購買行為。</w:t>
            </w:r>
          </w:p>
        </w:tc>
      </w:tr>
    </w:tbl>
    <w:p w:rsidR="007B0D50" w:rsidRPr="00140371" w:rsidRDefault="00192C15" w:rsidP="001C52D6">
      <w:pPr>
        <w:rPr>
          <w:rFonts w:ascii="新細明體" w:eastAsia="新細明體" w:hAnsi="新細明體"/>
        </w:rPr>
      </w:pPr>
      <w:r>
        <w:rPr>
          <w:rFonts w:ascii="新細明體" w:eastAsia="新細明體" w:hAnsi="新細明體"/>
        </w:rPr>
        <w:lastRenderedPageBreak/>
        <w:pict>
          <v:shape id="_x0000_i1032" type="#_x0000_t75" style="width:212.45pt;height:159.2pt">
            <v:imagedata r:id="rId15" o:title="街道"/>
          </v:shape>
        </w:pict>
      </w:r>
    </w:p>
    <w:p w:rsidR="007B0D50" w:rsidRPr="00140371" w:rsidRDefault="007B0D50" w:rsidP="001C52D6">
      <w:pPr>
        <w:rPr>
          <w:rFonts w:ascii="新細明體" w:eastAsia="新細明體" w:hAnsi="新細明體"/>
        </w:rPr>
      </w:pPr>
      <w:r w:rsidRPr="00140371">
        <w:rPr>
          <w:rFonts w:ascii="新細明體" w:eastAsia="新細明體" w:hAnsi="新細明體" w:hint="eastAsia"/>
        </w:rPr>
        <w:t>社經地位穩定、退休後自我時間增加F</w:t>
      </w:r>
    </w:p>
    <w:p w:rsidR="000E519C" w:rsidRPr="00140371" w:rsidRDefault="00F11D2E" w:rsidP="001C52D6">
      <w:pPr>
        <w:rPr>
          <w:rFonts w:ascii="新細明體" w:eastAsia="新細明體" w:hAnsi="新細明體"/>
        </w:rPr>
      </w:pPr>
    </w:p>
    <w:sectPr w:rsidR="000E519C" w:rsidRPr="00140371" w:rsidSect="008D4313">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1D2E" w:rsidRDefault="00F11D2E" w:rsidP="007B0D50">
      <w:r>
        <w:separator/>
      </w:r>
    </w:p>
  </w:endnote>
  <w:endnote w:type="continuationSeparator" w:id="0">
    <w:p w:rsidR="00F11D2E" w:rsidRDefault="00F11D2E" w:rsidP="007B0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1D2E" w:rsidRDefault="00F11D2E" w:rsidP="007B0D50">
      <w:r>
        <w:separator/>
      </w:r>
    </w:p>
  </w:footnote>
  <w:footnote w:type="continuationSeparator" w:id="0">
    <w:p w:rsidR="00F11D2E" w:rsidRDefault="00F11D2E" w:rsidP="007B0D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FA2A27"/>
    <w:multiLevelType w:val="hybridMultilevel"/>
    <w:tmpl w:val="02FE1CBC"/>
    <w:lvl w:ilvl="0" w:tplc="AEEAE7FE">
      <w:start w:val="1"/>
      <w:numFmt w:val="bullet"/>
      <w:pStyle w:val="-2"/>
      <w:lvlText w:val=""/>
      <w:lvlJc w:val="left"/>
      <w:pPr>
        <w:ind w:left="962" w:hanging="480"/>
      </w:pPr>
      <w:rPr>
        <w:rFonts w:ascii="Wingdings" w:hAnsi="Wingdings" w:hint="default"/>
        <w:color w:val="A6A6A6" w:themeColor="background1" w:themeShade="A6"/>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1">
    <w:nsid w:val="277B5138"/>
    <w:multiLevelType w:val="hybridMultilevel"/>
    <w:tmpl w:val="A12C7E5C"/>
    <w:lvl w:ilvl="0" w:tplc="EE3C1144">
      <w:start w:val="1"/>
      <w:numFmt w:val="bullet"/>
      <w:pStyle w:val="-3"/>
      <w:lvlText w:val="P"/>
      <w:lvlJc w:val="left"/>
      <w:pPr>
        <w:ind w:left="1044" w:hanging="480"/>
      </w:pPr>
      <w:rPr>
        <w:rFonts w:ascii="Wingdings 2" w:hAnsi="Wingdings 2" w:hint="default"/>
        <w:b/>
        <w:i w:val="0"/>
        <w:color w:val="808080" w:themeColor="background1" w:themeShade="80"/>
      </w:rPr>
    </w:lvl>
    <w:lvl w:ilvl="1" w:tplc="04090003" w:tentative="1">
      <w:start w:val="1"/>
      <w:numFmt w:val="bullet"/>
      <w:lvlText w:val=""/>
      <w:lvlJc w:val="left"/>
      <w:pPr>
        <w:ind w:left="1524" w:hanging="480"/>
      </w:pPr>
      <w:rPr>
        <w:rFonts w:ascii="Wingdings" w:hAnsi="Wingdings" w:hint="default"/>
      </w:rPr>
    </w:lvl>
    <w:lvl w:ilvl="2" w:tplc="04090005" w:tentative="1">
      <w:start w:val="1"/>
      <w:numFmt w:val="bullet"/>
      <w:lvlText w:val=""/>
      <w:lvlJc w:val="left"/>
      <w:pPr>
        <w:ind w:left="2004" w:hanging="480"/>
      </w:pPr>
      <w:rPr>
        <w:rFonts w:ascii="Wingdings" w:hAnsi="Wingdings" w:hint="default"/>
      </w:rPr>
    </w:lvl>
    <w:lvl w:ilvl="3" w:tplc="04090001" w:tentative="1">
      <w:start w:val="1"/>
      <w:numFmt w:val="bullet"/>
      <w:lvlText w:val=""/>
      <w:lvlJc w:val="left"/>
      <w:pPr>
        <w:ind w:left="2484" w:hanging="480"/>
      </w:pPr>
      <w:rPr>
        <w:rFonts w:ascii="Wingdings" w:hAnsi="Wingdings" w:hint="default"/>
      </w:rPr>
    </w:lvl>
    <w:lvl w:ilvl="4" w:tplc="04090003" w:tentative="1">
      <w:start w:val="1"/>
      <w:numFmt w:val="bullet"/>
      <w:lvlText w:val=""/>
      <w:lvlJc w:val="left"/>
      <w:pPr>
        <w:ind w:left="2964" w:hanging="480"/>
      </w:pPr>
      <w:rPr>
        <w:rFonts w:ascii="Wingdings" w:hAnsi="Wingdings" w:hint="default"/>
      </w:rPr>
    </w:lvl>
    <w:lvl w:ilvl="5" w:tplc="04090005" w:tentative="1">
      <w:start w:val="1"/>
      <w:numFmt w:val="bullet"/>
      <w:lvlText w:val=""/>
      <w:lvlJc w:val="left"/>
      <w:pPr>
        <w:ind w:left="3444" w:hanging="480"/>
      </w:pPr>
      <w:rPr>
        <w:rFonts w:ascii="Wingdings" w:hAnsi="Wingdings" w:hint="default"/>
      </w:rPr>
    </w:lvl>
    <w:lvl w:ilvl="6" w:tplc="04090001" w:tentative="1">
      <w:start w:val="1"/>
      <w:numFmt w:val="bullet"/>
      <w:lvlText w:val=""/>
      <w:lvlJc w:val="left"/>
      <w:pPr>
        <w:ind w:left="3924" w:hanging="480"/>
      </w:pPr>
      <w:rPr>
        <w:rFonts w:ascii="Wingdings" w:hAnsi="Wingdings" w:hint="default"/>
      </w:rPr>
    </w:lvl>
    <w:lvl w:ilvl="7" w:tplc="04090003" w:tentative="1">
      <w:start w:val="1"/>
      <w:numFmt w:val="bullet"/>
      <w:lvlText w:val=""/>
      <w:lvlJc w:val="left"/>
      <w:pPr>
        <w:ind w:left="4404" w:hanging="480"/>
      </w:pPr>
      <w:rPr>
        <w:rFonts w:ascii="Wingdings" w:hAnsi="Wingdings" w:hint="default"/>
      </w:rPr>
    </w:lvl>
    <w:lvl w:ilvl="8" w:tplc="04090005" w:tentative="1">
      <w:start w:val="1"/>
      <w:numFmt w:val="bullet"/>
      <w:lvlText w:val=""/>
      <w:lvlJc w:val="left"/>
      <w:pPr>
        <w:ind w:left="4884" w:hanging="480"/>
      </w:pPr>
      <w:rPr>
        <w:rFonts w:ascii="Wingdings" w:hAnsi="Wingdings" w:hint="default"/>
      </w:rPr>
    </w:lvl>
  </w:abstractNum>
  <w:abstractNum w:abstractNumId="2">
    <w:nsid w:val="63755E2A"/>
    <w:multiLevelType w:val="multilevel"/>
    <w:tmpl w:val="4268E1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
    <w:nsid w:val="769A50F0"/>
    <w:multiLevelType w:val="hybridMultilevel"/>
    <w:tmpl w:val="BCAE1522"/>
    <w:lvl w:ilvl="0" w:tplc="1AE2BF1A">
      <w:start w:val="1"/>
      <w:numFmt w:val="bullet"/>
      <w:pStyle w:val="-1"/>
      <w:lvlText w:val=""/>
      <w:lvlJc w:val="left"/>
      <w:pPr>
        <w:ind w:left="480" w:hanging="480"/>
      </w:pPr>
      <w:rPr>
        <w:rFonts w:ascii="Wingdings" w:hAnsi="Wingdings" w:hint="default"/>
        <w:color w:val="A6A6A6" w:themeColor="background1" w:themeShade="A6"/>
        <w:sz w:val="16"/>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
  </w:num>
  <w:num w:numId="2">
    <w:abstractNumId w:val="0"/>
  </w:num>
  <w:num w:numId="3">
    <w:abstractNumId w:val="3"/>
  </w:num>
  <w:num w:numId="4">
    <w:abstractNumId w:val="2"/>
  </w:num>
  <w:num w:numId="5">
    <w:abstractNumId w:val="2"/>
  </w:num>
  <w:num w:numId="6">
    <w:abstractNumId w:val="2"/>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0D50"/>
    <w:rsid w:val="000B3FAE"/>
    <w:rsid w:val="00140371"/>
    <w:rsid w:val="00192C15"/>
    <w:rsid w:val="001C52D6"/>
    <w:rsid w:val="00484726"/>
    <w:rsid w:val="005A4C0F"/>
    <w:rsid w:val="00630BD4"/>
    <w:rsid w:val="00657217"/>
    <w:rsid w:val="006C68BF"/>
    <w:rsid w:val="006D4342"/>
    <w:rsid w:val="00761B11"/>
    <w:rsid w:val="007B0D50"/>
    <w:rsid w:val="00853AC1"/>
    <w:rsid w:val="00880ABC"/>
    <w:rsid w:val="008D4313"/>
    <w:rsid w:val="0096134F"/>
    <w:rsid w:val="00A40260"/>
    <w:rsid w:val="00B14172"/>
    <w:rsid w:val="00B631ED"/>
    <w:rsid w:val="00D660CD"/>
    <w:rsid w:val="00D6641B"/>
    <w:rsid w:val="00DD7897"/>
    <w:rsid w:val="00E24931"/>
    <w:rsid w:val="00F07103"/>
    <w:rsid w:val="00F11D2E"/>
    <w:rsid w:val="00FB4A5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7103"/>
    <w:pPr>
      <w:widowControl w:val="0"/>
    </w:pPr>
  </w:style>
  <w:style w:type="paragraph" w:styleId="1">
    <w:name w:val="heading 1"/>
    <w:basedOn w:val="a"/>
    <w:next w:val="a"/>
    <w:link w:val="10"/>
    <w:uiPriority w:val="9"/>
    <w:qFormat/>
    <w:rsid w:val="00F07103"/>
    <w:pPr>
      <w:keepNext/>
      <w:pageBreakBefore/>
      <w:numPr>
        <w:numId w:val="7"/>
      </w:numPr>
      <w:snapToGrid w:val="0"/>
      <w:spacing w:afterLines="100" w:after="100"/>
      <w:outlineLvl w:val="0"/>
    </w:pPr>
    <w:rPr>
      <w:rFonts w:ascii="Calibri" w:eastAsia="微軟正黑體" w:hAnsi="Calibri" w:cstheme="majorBidi"/>
      <w:b/>
      <w:bCs/>
      <w:color w:val="BFBFBF" w:themeColor="background1" w:themeShade="BF"/>
      <w:kern w:val="52"/>
      <w:sz w:val="32"/>
      <w:szCs w:val="52"/>
    </w:rPr>
  </w:style>
  <w:style w:type="paragraph" w:styleId="2">
    <w:name w:val="heading 2"/>
    <w:basedOn w:val="a"/>
    <w:next w:val="a"/>
    <w:link w:val="20"/>
    <w:uiPriority w:val="9"/>
    <w:unhideWhenUsed/>
    <w:qFormat/>
    <w:rsid w:val="00F07103"/>
    <w:pPr>
      <w:keepNext/>
      <w:numPr>
        <w:ilvl w:val="1"/>
        <w:numId w:val="7"/>
      </w:numPr>
      <w:snapToGrid w:val="0"/>
      <w:spacing w:beforeLines="50" w:before="50" w:afterLines="50" w:after="50"/>
      <w:outlineLvl w:val="1"/>
    </w:pPr>
    <w:rPr>
      <w:rFonts w:ascii="Calibri" w:eastAsia="微軟正黑體" w:hAnsi="Calibri" w:cstheme="majorBidi"/>
      <w:b/>
      <w:bCs/>
      <w:color w:val="BFBFBF" w:themeColor="background1" w:themeShade="BF"/>
      <w:sz w:val="28"/>
      <w:szCs w:val="48"/>
    </w:rPr>
  </w:style>
  <w:style w:type="paragraph" w:styleId="3">
    <w:name w:val="heading 3"/>
    <w:basedOn w:val="a"/>
    <w:next w:val="a"/>
    <w:link w:val="30"/>
    <w:uiPriority w:val="9"/>
    <w:unhideWhenUsed/>
    <w:qFormat/>
    <w:rsid w:val="00F07103"/>
    <w:pPr>
      <w:keepNext/>
      <w:numPr>
        <w:ilvl w:val="2"/>
        <w:numId w:val="7"/>
      </w:numPr>
      <w:snapToGrid w:val="0"/>
      <w:spacing w:afterLines="50" w:after="50"/>
      <w:outlineLvl w:val="2"/>
    </w:pPr>
    <w:rPr>
      <w:rFonts w:ascii="Calibri" w:eastAsia="微軟正黑體" w:hAnsi="Calibri" w:cstheme="majorBidi"/>
      <w:b/>
      <w:bCs/>
      <w:color w:val="BFBFBF" w:themeColor="background1" w:themeShade="BF"/>
      <w:szCs w:val="36"/>
    </w:rPr>
  </w:style>
  <w:style w:type="paragraph" w:styleId="4">
    <w:name w:val="heading 4"/>
    <w:basedOn w:val="a"/>
    <w:next w:val="a"/>
    <w:link w:val="40"/>
    <w:uiPriority w:val="9"/>
    <w:unhideWhenUsed/>
    <w:qFormat/>
    <w:rsid w:val="00F07103"/>
    <w:pPr>
      <w:keepNext/>
      <w:numPr>
        <w:ilvl w:val="3"/>
        <w:numId w:val="7"/>
      </w:numPr>
      <w:snapToGrid w:val="0"/>
      <w:spacing w:afterLines="50" w:after="50"/>
      <w:outlineLvl w:val="3"/>
    </w:pPr>
    <w:rPr>
      <w:rFonts w:ascii="Calibri" w:eastAsia="微軟正黑體" w:hAnsi="Calibri" w:cstheme="majorBidi"/>
      <w:b/>
      <w:color w:val="BFBFBF" w:themeColor="background1" w:themeShade="BF"/>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text"/>
    <w:basedOn w:val="a"/>
    <w:qFormat/>
    <w:rsid w:val="006D4342"/>
    <w:pPr>
      <w:snapToGrid w:val="0"/>
      <w:spacing w:afterLines="50" w:after="50" w:line="320" w:lineRule="atLeast"/>
    </w:pPr>
    <w:rPr>
      <w:rFonts w:ascii="Calibri" w:eastAsia="新細明體" w:hAnsi="Calibri"/>
      <w:sz w:val="20"/>
    </w:rPr>
  </w:style>
  <w:style w:type="paragraph" w:customStyle="1" w:styleId="text-bold-gray">
    <w:name w:val="text-bold-gray"/>
    <w:basedOn w:val="a"/>
    <w:qFormat/>
    <w:rsid w:val="006D4342"/>
    <w:pPr>
      <w:jc w:val="center"/>
    </w:pPr>
    <w:rPr>
      <w:rFonts w:ascii="微軟正黑體" w:eastAsia="微軟正黑體" w:hAnsi="微軟正黑體"/>
      <w:color w:val="BFBFBF" w:themeColor="background1" w:themeShade="BF"/>
      <w:sz w:val="40"/>
      <w:szCs w:val="40"/>
    </w:rPr>
  </w:style>
  <w:style w:type="paragraph" w:styleId="11">
    <w:name w:val="toc 1"/>
    <w:basedOn w:val="a"/>
    <w:next w:val="a"/>
    <w:autoRedefine/>
    <w:uiPriority w:val="39"/>
    <w:unhideWhenUsed/>
    <w:rsid w:val="00F07103"/>
    <w:pPr>
      <w:tabs>
        <w:tab w:val="left" w:pos="480"/>
        <w:tab w:val="right" w:leader="dot" w:pos="9628"/>
      </w:tabs>
      <w:ind w:left="283" w:hangingChars="135" w:hanging="283"/>
    </w:pPr>
    <w:rPr>
      <w:noProof/>
      <w:sz w:val="21"/>
    </w:rPr>
  </w:style>
  <w:style w:type="paragraph" w:styleId="21">
    <w:name w:val="toc 2"/>
    <w:basedOn w:val="a"/>
    <w:next w:val="a"/>
    <w:autoRedefine/>
    <w:uiPriority w:val="39"/>
    <w:unhideWhenUsed/>
    <w:rsid w:val="00F07103"/>
    <w:pPr>
      <w:tabs>
        <w:tab w:val="left" w:pos="910"/>
        <w:tab w:val="right" w:leader="dot" w:pos="9628"/>
      </w:tabs>
      <w:ind w:leftChars="199" w:left="896" w:hangingChars="199" w:hanging="418"/>
    </w:pPr>
    <w:rPr>
      <w:noProof/>
      <w:sz w:val="21"/>
    </w:rPr>
  </w:style>
  <w:style w:type="paragraph" w:styleId="31">
    <w:name w:val="toc 3"/>
    <w:basedOn w:val="a"/>
    <w:next w:val="a"/>
    <w:autoRedefine/>
    <w:uiPriority w:val="39"/>
    <w:unhideWhenUsed/>
    <w:rsid w:val="00F07103"/>
    <w:pPr>
      <w:tabs>
        <w:tab w:val="left" w:pos="1920"/>
        <w:tab w:val="right" w:leader="dot" w:pos="9628"/>
      </w:tabs>
      <w:ind w:leftChars="400" w:left="1558" w:hangingChars="285" w:hanging="598"/>
    </w:pPr>
    <w:rPr>
      <w:noProof/>
      <w:sz w:val="21"/>
    </w:rPr>
  </w:style>
  <w:style w:type="paragraph" w:customStyle="1" w:styleId="text0">
    <w:name w:val="表格text"/>
    <w:basedOn w:val="a"/>
    <w:qFormat/>
    <w:rsid w:val="00F07103"/>
    <w:pPr>
      <w:snapToGrid w:val="0"/>
      <w:jc w:val="both"/>
    </w:pPr>
    <w:rPr>
      <w:rFonts w:ascii="Calibri" w:eastAsia="新細明體" w:hAnsi="Calibri"/>
      <w:sz w:val="20"/>
    </w:rPr>
  </w:style>
  <w:style w:type="paragraph" w:customStyle="1" w:styleId="-3">
    <w:name w:val="清單-勾3"/>
    <w:basedOn w:val="a"/>
    <w:qFormat/>
    <w:rsid w:val="00F07103"/>
    <w:pPr>
      <w:numPr>
        <w:numId w:val="1"/>
      </w:numPr>
      <w:snapToGrid w:val="0"/>
      <w:spacing w:afterLines="50" w:after="50" w:line="320" w:lineRule="atLeast"/>
    </w:pPr>
    <w:rPr>
      <w:rFonts w:ascii="Calibri" w:eastAsia="新細明體" w:hAnsi="Calibri"/>
      <w:sz w:val="20"/>
    </w:rPr>
  </w:style>
  <w:style w:type="paragraph" w:customStyle="1" w:styleId="-2">
    <w:name w:val="清單-方2"/>
    <w:basedOn w:val="a"/>
    <w:qFormat/>
    <w:rsid w:val="00F07103"/>
    <w:pPr>
      <w:numPr>
        <w:numId w:val="2"/>
      </w:numPr>
      <w:snapToGrid w:val="0"/>
      <w:spacing w:afterLines="50" w:after="50" w:line="320" w:lineRule="atLeast"/>
    </w:pPr>
    <w:rPr>
      <w:rFonts w:ascii="Calibri" w:eastAsia="新細明體" w:hAnsi="Calibri"/>
      <w:sz w:val="20"/>
    </w:rPr>
  </w:style>
  <w:style w:type="paragraph" w:customStyle="1" w:styleId="-1">
    <w:name w:val="清單-圓1"/>
    <w:basedOn w:val="a"/>
    <w:qFormat/>
    <w:rsid w:val="00F07103"/>
    <w:pPr>
      <w:numPr>
        <w:numId w:val="3"/>
      </w:numPr>
      <w:snapToGrid w:val="0"/>
      <w:spacing w:afterLines="50" w:after="50" w:line="320" w:lineRule="atLeast"/>
    </w:pPr>
    <w:rPr>
      <w:rFonts w:ascii="Calibri" w:eastAsia="新細明體" w:hAnsi="Calibri"/>
      <w:sz w:val="20"/>
    </w:rPr>
  </w:style>
  <w:style w:type="character" w:customStyle="1" w:styleId="10">
    <w:name w:val="標題 1 字元"/>
    <w:basedOn w:val="a0"/>
    <w:link w:val="1"/>
    <w:uiPriority w:val="9"/>
    <w:rsid w:val="00F07103"/>
    <w:rPr>
      <w:rFonts w:ascii="Calibri" w:eastAsia="微軟正黑體" w:hAnsi="Calibri" w:cstheme="majorBidi"/>
      <w:b/>
      <w:bCs/>
      <w:color w:val="BFBFBF" w:themeColor="background1" w:themeShade="BF"/>
      <w:kern w:val="52"/>
      <w:sz w:val="32"/>
      <w:szCs w:val="52"/>
    </w:rPr>
  </w:style>
  <w:style w:type="character" w:customStyle="1" w:styleId="20">
    <w:name w:val="標題 2 字元"/>
    <w:basedOn w:val="a0"/>
    <w:link w:val="2"/>
    <w:uiPriority w:val="9"/>
    <w:rsid w:val="00F07103"/>
    <w:rPr>
      <w:rFonts w:ascii="Calibri" w:eastAsia="微軟正黑體" w:hAnsi="Calibri" w:cstheme="majorBidi"/>
      <w:b/>
      <w:bCs/>
      <w:color w:val="BFBFBF" w:themeColor="background1" w:themeShade="BF"/>
      <w:sz w:val="28"/>
      <w:szCs w:val="48"/>
    </w:rPr>
  </w:style>
  <w:style w:type="character" w:customStyle="1" w:styleId="30">
    <w:name w:val="標題 3 字元"/>
    <w:basedOn w:val="a0"/>
    <w:link w:val="3"/>
    <w:uiPriority w:val="9"/>
    <w:rsid w:val="00F07103"/>
    <w:rPr>
      <w:rFonts w:ascii="Calibri" w:eastAsia="微軟正黑體" w:hAnsi="Calibri" w:cstheme="majorBidi"/>
      <w:b/>
      <w:bCs/>
      <w:color w:val="BFBFBF" w:themeColor="background1" w:themeShade="BF"/>
      <w:szCs w:val="36"/>
    </w:rPr>
  </w:style>
  <w:style w:type="character" w:customStyle="1" w:styleId="40">
    <w:name w:val="標題 4 字元"/>
    <w:basedOn w:val="a0"/>
    <w:link w:val="4"/>
    <w:uiPriority w:val="9"/>
    <w:rsid w:val="00F07103"/>
    <w:rPr>
      <w:rFonts w:ascii="Calibri" w:eastAsia="微軟正黑體" w:hAnsi="Calibri" w:cstheme="majorBidi"/>
      <w:b/>
      <w:color w:val="BFBFBF" w:themeColor="background1" w:themeShade="BF"/>
      <w:szCs w:val="36"/>
    </w:rPr>
  </w:style>
  <w:style w:type="paragraph" w:styleId="a3">
    <w:name w:val="header"/>
    <w:basedOn w:val="a"/>
    <w:link w:val="a4"/>
    <w:uiPriority w:val="99"/>
    <w:unhideWhenUsed/>
    <w:rsid w:val="007B0D50"/>
    <w:pPr>
      <w:tabs>
        <w:tab w:val="center" w:pos="4153"/>
        <w:tab w:val="right" w:pos="8306"/>
      </w:tabs>
      <w:snapToGrid w:val="0"/>
    </w:pPr>
    <w:rPr>
      <w:sz w:val="20"/>
      <w:szCs w:val="20"/>
    </w:rPr>
  </w:style>
  <w:style w:type="character" w:customStyle="1" w:styleId="a4">
    <w:name w:val="頁首 字元"/>
    <w:basedOn w:val="a0"/>
    <w:link w:val="a3"/>
    <w:uiPriority w:val="99"/>
    <w:rsid w:val="007B0D50"/>
    <w:rPr>
      <w:sz w:val="20"/>
      <w:szCs w:val="20"/>
    </w:rPr>
  </w:style>
  <w:style w:type="paragraph" w:styleId="a5">
    <w:name w:val="footer"/>
    <w:basedOn w:val="a"/>
    <w:link w:val="a6"/>
    <w:uiPriority w:val="99"/>
    <w:unhideWhenUsed/>
    <w:rsid w:val="007B0D50"/>
    <w:pPr>
      <w:tabs>
        <w:tab w:val="center" w:pos="4153"/>
        <w:tab w:val="right" w:pos="8306"/>
      </w:tabs>
      <w:snapToGrid w:val="0"/>
    </w:pPr>
    <w:rPr>
      <w:sz w:val="20"/>
      <w:szCs w:val="20"/>
    </w:rPr>
  </w:style>
  <w:style w:type="character" w:customStyle="1" w:styleId="a6">
    <w:name w:val="頁尾 字元"/>
    <w:basedOn w:val="a0"/>
    <w:link w:val="a5"/>
    <w:uiPriority w:val="99"/>
    <w:rsid w:val="007B0D50"/>
    <w:rPr>
      <w:sz w:val="20"/>
      <w:szCs w:val="20"/>
    </w:rPr>
  </w:style>
  <w:style w:type="table" w:styleId="a7">
    <w:name w:val="Table Grid"/>
    <w:basedOn w:val="a1"/>
    <w:uiPriority w:val="59"/>
    <w:rsid w:val="00B631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7103"/>
    <w:pPr>
      <w:widowControl w:val="0"/>
    </w:pPr>
  </w:style>
  <w:style w:type="paragraph" w:styleId="1">
    <w:name w:val="heading 1"/>
    <w:basedOn w:val="a"/>
    <w:next w:val="a"/>
    <w:link w:val="10"/>
    <w:uiPriority w:val="9"/>
    <w:qFormat/>
    <w:rsid w:val="00F07103"/>
    <w:pPr>
      <w:keepNext/>
      <w:pageBreakBefore/>
      <w:numPr>
        <w:numId w:val="7"/>
      </w:numPr>
      <w:snapToGrid w:val="0"/>
      <w:spacing w:afterLines="100" w:after="100"/>
      <w:outlineLvl w:val="0"/>
    </w:pPr>
    <w:rPr>
      <w:rFonts w:ascii="Calibri" w:eastAsia="微軟正黑體" w:hAnsi="Calibri" w:cstheme="majorBidi"/>
      <w:b/>
      <w:bCs/>
      <w:color w:val="BFBFBF" w:themeColor="background1" w:themeShade="BF"/>
      <w:kern w:val="52"/>
      <w:sz w:val="32"/>
      <w:szCs w:val="52"/>
    </w:rPr>
  </w:style>
  <w:style w:type="paragraph" w:styleId="2">
    <w:name w:val="heading 2"/>
    <w:basedOn w:val="a"/>
    <w:next w:val="a"/>
    <w:link w:val="20"/>
    <w:uiPriority w:val="9"/>
    <w:unhideWhenUsed/>
    <w:qFormat/>
    <w:rsid w:val="00F07103"/>
    <w:pPr>
      <w:keepNext/>
      <w:numPr>
        <w:ilvl w:val="1"/>
        <w:numId w:val="7"/>
      </w:numPr>
      <w:snapToGrid w:val="0"/>
      <w:spacing w:beforeLines="50" w:before="50" w:afterLines="50" w:after="50"/>
      <w:outlineLvl w:val="1"/>
    </w:pPr>
    <w:rPr>
      <w:rFonts w:ascii="Calibri" w:eastAsia="微軟正黑體" w:hAnsi="Calibri" w:cstheme="majorBidi"/>
      <w:b/>
      <w:bCs/>
      <w:color w:val="BFBFBF" w:themeColor="background1" w:themeShade="BF"/>
      <w:sz w:val="28"/>
      <w:szCs w:val="48"/>
    </w:rPr>
  </w:style>
  <w:style w:type="paragraph" w:styleId="3">
    <w:name w:val="heading 3"/>
    <w:basedOn w:val="a"/>
    <w:next w:val="a"/>
    <w:link w:val="30"/>
    <w:uiPriority w:val="9"/>
    <w:unhideWhenUsed/>
    <w:qFormat/>
    <w:rsid w:val="00F07103"/>
    <w:pPr>
      <w:keepNext/>
      <w:numPr>
        <w:ilvl w:val="2"/>
        <w:numId w:val="7"/>
      </w:numPr>
      <w:snapToGrid w:val="0"/>
      <w:spacing w:afterLines="50" w:after="50"/>
      <w:outlineLvl w:val="2"/>
    </w:pPr>
    <w:rPr>
      <w:rFonts w:ascii="Calibri" w:eastAsia="微軟正黑體" w:hAnsi="Calibri" w:cstheme="majorBidi"/>
      <w:b/>
      <w:bCs/>
      <w:color w:val="BFBFBF" w:themeColor="background1" w:themeShade="BF"/>
      <w:szCs w:val="36"/>
    </w:rPr>
  </w:style>
  <w:style w:type="paragraph" w:styleId="4">
    <w:name w:val="heading 4"/>
    <w:basedOn w:val="a"/>
    <w:next w:val="a"/>
    <w:link w:val="40"/>
    <w:uiPriority w:val="9"/>
    <w:unhideWhenUsed/>
    <w:qFormat/>
    <w:rsid w:val="00F07103"/>
    <w:pPr>
      <w:keepNext/>
      <w:numPr>
        <w:ilvl w:val="3"/>
        <w:numId w:val="7"/>
      </w:numPr>
      <w:snapToGrid w:val="0"/>
      <w:spacing w:afterLines="50" w:after="50"/>
      <w:outlineLvl w:val="3"/>
    </w:pPr>
    <w:rPr>
      <w:rFonts w:ascii="Calibri" w:eastAsia="微軟正黑體" w:hAnsi="Calibri" w:cstheme="majorBidi"/>
      <w:b/>
      <w:color w:val="BFBFBF" w:themeColor="background1" w:themeShade="BF"/>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text"/>
    <w:basedOn w:val="a"/>
    <w:qFormat/>
    <w:rsid w:val="006D4342"/>
    <w:pPr>
      <w:snapToGrid w:val="0"/>
      <w:spacing w:afterLines="50" w:after="50" w:line="320" w:lineRule="atLeast"/>
    </w:pPr>
    <w:rPr>
      <w:rFonts w:ascii="Calibri" w:eastAsia="新細明體" w:hAnsi="Calibri"/>
      <w:sz w:val="20"/>
    </w:rPr>
  </w:style>
  <w:style w:type="paragraph" w:customStyle="1" w:styleId="text-bold-gray">
    <w:name w:val="text-bold-gray"/>
    <w:basedOn w:val="a"/>
    <w:qFormat/>
    <w:rsid w:val="006D4342"/>
    <w:pPr>
      <w:jc w:val="center"/>
    </w:pPr>
    <w:rPr>
      <w:rFonts w:ascii="微軟正黑體" w:eastAsia="微軟正黑體" w:hAnsi="微軟正黑體"/>
      <w:color w:val="BFBFBF" w:themeColor="background1" w:themeShade="BF"/>
      <w:sz w:val="40"/>
      <w:szCs w:val="40"/>
    </w:rPr>
  </w:style>
  <w:style w:type="paragraph" w:styleId="11">
    <w:name w:val="toc 1"/>
    <w:basedOn w:val="a"/>
    <w:next w:val="a"/>
    <w:autoRedefine/>
    <w:uiPriority w:val="39"/>
    <w:unhideWhenUsed/>
    <w:rsid w:val="00F07103"/>
    <w:pPr>
      <w:tabs>
        <w:tab w:val="left" w:pos="480"/>
        <w:tab w:val="right" w:leader="dot" w:pos="9628"/>
      </w:tabs>
      <w:ind w:left="283" w:hangingChars="135" w:hanging="283"/>
    </w:pPr>
    <w:rPr>
      <w:noProof/>
      <w:sz w:val="21"/>
    </w:rPr>
  </w:style>
  <w:style w:type="paragraph" w:styleId="21">
    <w:name w:val="toc 2"/>
    <w:basedOn w:val="a"/>
    <w:next w:val="a"/>
    <w:autoRedefine/>
    <w:uiPriority w:val="39"/>
    <w:unhideWhenUsed/>
    <w:rsid w:val="00F07103"/>
    <w:pPr>
      <w:tabs>
        <w:tab w:val="left" w:pos="910"/>
        <w:tab w:val="right" w:leader="dot" w:pos="9628"/>
      </w:tabs>
      <w:ind w:leftChars="199" w:left="896" w:hangingChars="199" w:hanging="418"/>
    </w:pPr>
    <w:rPr>
      <w:noProof/>
      <w:sz w:val="21"/>
    </w:rPr>
  </w:style>
  <w:style w:type="paragraph" w:styleId="31">
    <w:name w:val="toc 3"/>
    <w:basedOn w:val="a"/>
    <w:next w:val="a"/>
    <w:autoRedefine/>
    <w:uiPriority w:val="39"/>
    <w:unhideWhenUsed/>
    <w:rsid w:val="00F07103"/>
    <w:pPr>
      <w:tabs>
        <w:tab w:val="left" w:pos="1920"/>
        <w:tab w:val="right" w:leader="dot" w:pos="9628"/>
      </w:tabs>
      <w:ind w:leftChars="400" w:left="1558" w:hangingChars="285" w:hanging="598"/>
    </w:pPr>
    <w:rPr>
      <w:noProof/>
      <w:sz w:val="21"/>
    </w:rPr>
  </w:style>
  <w:style w:type="paragraph" w:customStyle="1" w:styleId="text0">
    <w:name w:val="表格text"/>
    <w:basedOn w:val="a"/>
    <w:qFormat/>
    <w:rsid w:val="00F07103"/>
    <w:pPr>
      <w:snapToGrid w:val="0"/>
      <w:jc w:val="both"/>
    </w:pPr>
    <w:rPr>
      <w:rFonts w:ascii="Calibri" w:eastAsia="新細明體" w:hAnsi="Calibri"/>
      <w:sz w:val="20"/>
    </w:rPr>
  </w:style>
  <w:style w:type="paragraph" w:customStyle="1" w:styleId="-3">
    <w:name w:val="清單-勾3"/>
    <w:basedOn w:val="a"/>
    <w:qFormat/>
    <w:rsid w:val="00F07103"/>
    <w:pPr>
      <w:numPr>
        <w:numId w:val="1"/>
      </w:numPr>
      <w:snapToGrid w:val="0"/>
      <w:spacing w:afterLines="50" w:after="50" w:line="320" w:lineRule="atLeast"/>
    </w:pPr>
    <w:rPr>
      <w:rFonts w:ascii="Calibri" w:eastAsia="新細明體" w:hAnsi="Calibri"/>
      <w:sz w:val="20"/>
    </w:rPr>
  </w:style>
  <w:style w:type="paragraph" w:customStyle="1" w:styleId="-2">
    <w:name w:val="清單-方2"/>
    <w:basedOn w:val="a"/>
    <w:qFormat/>
    <w:rsid w:val="00F07103"/>
    <w:pPr>
      <w:numPr>
        <w:numId w:val="2"/>
      </w:numPr>
      <w:snapToGrid w:val="0"/>
      <w:spacing w:afterLines="50" w:after="50" w:line="320" w:lineRule="atLeast"/>
    </w:pPr>
    <w:rPr>
      <w:rFonts w:ascii="Calibri" w:eastAsia="新細明體" w:hAnsi="Calibri"/>
      <w:sz w:val="20"/>
    </w:rPr>
  </w:style>
  <w:style w:type="paragraph" w:customStyle="1" w:styleId="-1">
    <w:name w:val="清單-圓1"/>
    <w:basedOn w:val="a"/>
    <w:qFormat/>
    <w:rsid w:val="00F07103"/>
    <w:pPr>
      <w:numPr>
        <w:numId w:val="3"/>
      </w:numPr>
      <w:snapToGrid w:val="0"/>
      <w:spacing w:afterLines="50" w:after="50" w:line="320" w:lineRule="atLeast"/>
    </w:pPr>
    <w:rPr>
      <w:rFonts w:ascii="Calibri" w:eastAsia="新細明體" w:hAnsi="Calibri"/>
      <w:sz w:val="20"/>
    </w:rPr>
  </w:style>
  <w:style w:type="character" w:customStyle="1" w:styleId="10">
    <w:name w:val="標題 1 字元"/>
    <w:basedOn w:val="a0"/>
    <w:link w:val="1"/>
    <w:uiPriority w:val="9"/>
    <w:rsid w:val="00F07103"/>
    <w:rPr>
      <w:rFonts w:ascii="Calibri" w:eastAsia="微軟正黑體" w:hAnsi="Calibri" w:cstheme="majorBidi"/>
      <w:b/>
      <w:bCs/>
      <w:color w:val="BFBFBF" w:themeColor="background1" w:themeShade="BF"/>
      <w:kern w:val="52"/>
      <w:sz w:val="32"/>
      <w:szCs w:val="52"/>
    </w:rPr>
  </w:style>
  <w:style w:type="character" w:customStyle="1" w:styleId="20">
    <w:name w:val="標題 2 字元"/>
    <w:basedOn w:val="a0"/>
    <w:link w:val="2"/>
    <w:uiPriority w:val="9"/>
    <w:rsid w:val="00F07103"/>
    <w:rPr>
      <w:rFonts w:ascii="Calibri" w:eastAsia="微軟正黑體" w:hAnsi="Calibri" w:cstheme="majorBidi"/>
      <w:b/>
      <w:bCs/>
      <w:color w:val="BFBFBF" w:themeColor="background1" w:themeShade="BF"/>
      <w:sz w:val="28"/>
      <w:szCs w:val="48"/>
    </w:rPr>
  </w:style>
  <w:style w:type="character" w:customStyle="1" w:styleId="30">
    <w:name w:val="標題 3 字元"/>
    <w:basedOn w:val="a0"/>
    <w:link w:val="3"/>
    <w:uiPriority w:val="9"/>
    <w:rsid w:val="00F07103"/>
    <w:rPr>
      <w:rFonts w:ascii="Calibri" w:eastAsia="微軟正黑體" w:hAnsi="Calibri" w:cstheme="majorBidi"/>
      <w:b/>
      <w:bCs/>
      <w:color w:val="BFBFBF" w:themeColor="background1" w:themeShade="BF"/>
      <w:szCs w:val="36"/>
    </w:rPr>
  </w:style>
  <w:style w:type="character" w:customStyle="1" w:styleId="40">
    <w:name w:val="標題 4 字元"/>
    <w:basedOn w:val="a0"/>
    <w:link w:val="4"/>
    <w:uiPriority w:val="9"/>
    <w:rsid w:val="00F07103"/>
    <w:rPr>
      <w:rFonts w:ascii="Calibri" w:eastAsia="微軟正黑體" w:hAnsi="Calibri" w:cstheme="majorBidi"/>
      <w:b/>
      <w:color w:val="BFBFBF" w:themeColor="background1" w:themeShade="BF"/>
      <w:szCs w:val="36"/>
    </w:rPr>
  </w:style>
  <w:style w:type="paragraph" w:styleId="a3">
    <w:name w:val="header"/>
    <w:basedOn w:val="a"/>
    <w:link w:val="a4"/>
    <w:uiPriority w:val="99"/>
    <w:unhideWhenUsed/>
    <w:rsid w:val="007B0D50"/>
    <w:pPr>
      <w:tabs>
        <w:tab w:val="center" w:pos="4153"/>
        <w:tab w:val="right" w:pos="8306"/>
      </w:tabs>
      <w:snapToGrid w:val="0"/>
    </w:pPr>
    <w:rPr>
      <w:sz w:val="20"/>
      <w:szCs w:val="20"/>
    </w:rPr>
  </w:style>
  <w:style w:type="character" w:customStyle="1" w:styleId="a4">
    <w:name w:val="頁首 字元"/>
    <w:basedOn w:val="a0"/>
    <w:link w:val="a3"/>
    <w:uiPriority w:val="99"/>
    <w:rsid w:val="007B0D50"/>
    <w:rPr>
      <w:sz w:val="20"/>
      <w:szCs w:val="20"/>
    </w:rPr>
  </w:style>
  <w:style w:type="paragraph" w:styleId="a5">
    <w:name w:val="footer"/>
    <w:basedOn w:val="a"/>
    <w:link w:val="a6"/>
    <w:uiPriority w:val="99"/>
    <w:unhideWhenUsed/>
    <w:rsid w:val="007B0D50"/>
    <w:pPr>
      <w:tabs>
        <w:tab w:val="center" w:pos="4153"/>
        <w:tab w:val="right" w:pos="8306"/>
      </w:tabs>
      <w:snapToGrid w:val="0"/>
    </w:pPr>
    <w:rPr>
      <w:sz w:val="20"/>
      <w:szCs w:val="20"/>
    </w:rPr>
  </w:style>
  <w:style w:type="character" w:customStyle="1" w:styleId="a6">
    <w:name w:val="頁尾 字元"/>
    <w:basedOn w:val="a0"/>
    <w:link w:val="a5"/>
    <w:uiPriority w:val="99"/>
    <w:rsid w:val="007B0D50"/>
    <w:rPr>
      <w:sz w:val="20"/>
      <w:szCs w:val="20"/>
    </w:rPr>
  </w:style>
  <w:style w:type="table" w:styleId="a7">
    <w:name w:val="Table Grid"/>
    <w:basedOn w:val="a1"/>
    <w:uiPriority w:val="59"/>
    <w:rsid w:val="00B631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8</Pages>
  <Words>779</Words>
  <Characters>4446</Characters>
  <Application>Microsoft Office Word</Application>
  <DocSecurity>0</DocSecurity>
  <Lines>37</Lines>
  <Paragraphs>10</Paragraphs>
  <ScaleCrop>false</ScaleCrop>
  <Company/>
  <LinksUpToDate>false</LinksUpToDate>
  <CharactersWithSpaces>5215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fdm</dc:creator>
  <cp:lastModifiedBy>edo Hsieh</cp:lastModifiedBy>
  <cp:revision>8</cp:revision>
  <dcterms:created xsi:type="dcterms:W3CDTF">2011-11-01T06:19:00Z</dcterms:created>
  <dcterms:modified xsi:type="dcterms:W3CDTF">2013-08-22T06:20:00Z</dcterms:modified>
</cp:coreProperties>
</file>